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44" w:rsidRPr="001A3F44" w:rsidRDefault="001A3F44" w:rsidP="001A3F44">
      <w:pPr>
        <w:shd w:val="clear" w:color="auto" w:fill="FFFFFF"/>
        <w:spacing w:after="12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  <w:r w:rsidRPr="001A3F44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Модули</w:t>
      </w:r>
    </w:p>
    <w:p w:rsidR="001A3F44" w:rsidRPr="001A3F44" w:rsidRDefault="001A3F44" w:rsidP="001A3F44">
      <w:pPr>
        <w:shd w:val="clear" w:color="auto" w:fill="FFFFFF"/>
        <w:spacing w:before="120" w:after="120" w:line="3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bookmarkStart w:id="0" w:name="head0"/>
      <w:bookmarkEnd w:id="0"/>
      <w:r w:rsidRPr="001A3F4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Оглавление:</w:t>
      </w:r>
    </w:p>
    <w:p w:rsidR="001A3F44" w:rsidRPr="001A3F44" w:rsidRDefault="001A3F44" w:rsidP="001A3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anchor="head10" w:tooltip="Основные теоретические сведения" w:history="1">
        <w:r w:rsidRPr="001A3F44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Основные теоретические сведения</w:t>
        </w:r>
      </w:hyperlink>
    </w:p>
    <w:p w:rsidR="001A3F44" w:rsidRPr="001A3F44" w:rsidRDefault="001A3F44" w:rsidP="001A3F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anchor="head1" w:history="1">
        <w:r w:rsidRPr="001A3F44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Базовые сведения о модуле</w:t>
        </w:r>
      </w:hyperlink>
    </w:p>
    <w:p w:rsidR="001A3F44" w:rsidRPr="001A3F44" w:rsidRDefault="001A3F44" w:rsidP="001A3F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anchor="head2" w:history="1">
        <w:r w:rsidRPr="001A3F44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Некоторые методы решения уравнений с модулями</w:t>
        </w:r>
      </w:hyperlink>
    </w:p>
    <w:p w:rsidR="001A3F44" w:rsidRPr="001A3F44" w:rsidRDefault="001A3F44" w:rsidP="001A3F44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3F44" w:rsidRPr="001A3F44" w:rsidRDefault="001A3F44" w:rsidP="001A3F44">
      <w:pPr>
        <w:shd w:val="clear" w:color="auto" w:fill="FFFFFF"/>
        <w:spacing w:before="120" w:after="12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  <w:bookmarkStart w:id="1" w:name="head10"/>
      <w:bookmarkEnd w:id="1"/>
      <w:r w:rsidRPr="001A3F44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Основные теоретические сведения</w:t>
      </w:r>
    </w:p>
    <w:p w:rsidR="001A3F44" w:rsidRPr="001A3F44" w:rsidRDefault="001A3F44" w:rsidP="001A3F44">
      <w:pPr>
        <w:shd w:val="clear" w:color="auto" w:fill="FFFFFF"/>
        <w:spacing w:before="120" w:after="120" w:line="3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bookmarkStart w:id="2" w:name="head1"/>
      <w:bookmarkEnd w:id="2"/>
      <w:r w:rsidRPr="001A3F4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Базовые сведения о модуле</w:t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anchor="head0" w:history="1">
        <w:r w:rsidRPr="001A3F44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К оглавлению...</w:t>
        </w:r>
      </w:hyperlink>
    </w:p>
    <w:p w:rsidR="001A3F44" w:rsidRPr="001A3F44" w:rsidRDefault="001A3F44" w:rsidP="001A3F4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Определение модуля</w:t>
      </w: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может быть дано следующим образом: Абсолютной величиной числа </w:t>
      </w:r>
      <w:r w:rsidRPr="001A3F4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</w:t>
      </w: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(модулем) называется расстояние от точки, изображающей данное число </w:t>
      </w:r>
      <w:r w:rsidRPr="001A3F4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</w:t>
      </w: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 координатной прямой, до начала координат. Из определения следует, что:</w:t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638935" cy="560705"/>
            <wp:effectExtent l="0" t="0" r="0" b="0"/>
            <wp:docPr id="7" name="Рисунок 7" descr="Формула Определение моду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Определение модул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Таким образом, для того чтобы раскрыть модуль необходимо определить знак </w:t>
      </w:r>
      <w:proofErr w:type="spellStart"/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подмодульного</w:t>
      </w:r>
      <w:proofErr w:type="spellEnd"/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выражения. Если оно положительно, то можно просто убирать знак модуля. Если же </w:t>
      </w:r>
      <w:proofErr w:type="spellStart"/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подмодульное</w:t>
      </w:r>
      <w:proofErr w:type="spellEnd"/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выражение отрицательно, то его нужно умножить на "минус", и знак модуля, опять-таки, больше не писать.</w:t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Основные свойства модуля:</w:t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61865" cy="3640455"/>
            <wp:effectExtent l="0" t="0" r="635" b="0"/>
            <wp:docPr id="6" name="Рисунок 6" descr="Формулы Основные свойства моду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ы Основные свойства модул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3F44" w:rsidRPr="001A3F44" w:rsidRDefault="001A3F44" w:rsidP="001A3F44">
      <w:pPr>
        <w:shd w:val="clear" w:color="auto" w:fill="FFFFFF"/>
        <w:spacing w:before="120" w:after="120" w:line="3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bookmarkStart w:id="3" w:name="head2"/>
      <w:bookmarkEnd w:id="3"/>
      <w:r w:rsidRPr="001A3F4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Некоторые методы решения уравнений с модулями</w:t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1" w:anchor="head0" w:history="1">
        <w:r w:rsidRPr="001A3F44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К оглавлению...</w:t>
        </w:r>
      </w:hyperlink>
    </w:p>
    <w:p w:rsidR="001A3F44" w:rsidRPr="001A3F44" w:rsidRDefault="001A3F44" w:rsidP="001A3F4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Существует несколько типов уравнений с модулем, для которых имеется предпочтительный способ решения. При этом данный способ не является единственным. Например, для уравнения вида:</w:t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69720" cy="250190"/>
            <wp:effectExtent l="0" t="0" r="0" b="0"/>
            <wp:docPr id="5" name="Рисунок 5" descr="Формула Уравнение с моду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 Уравнение с модуле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Предпочтительным способом решения будет переход к совокупности:</w:t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931545" cy="551815"/>
            <wp:effectExtent l="0" t="0" r="1905" b="635"/>
            <wp:docPr id="4" name="Рисунок 4" descr="Формула Решение уравнения с моду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 Решение уравнения с модуле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для уравнений вида:</w:t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009015" cy="267335"/>
            <wp:effectExtent l="0" t="0" r="635" b="0"/>
            <wp:docPr id="3" name="Рисунок 3" descr="Формула Уравнение с моду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ула Уравнение с модуле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Также можно переходить к почти аналогичной совокупности, но так как модуль принимает только положительные значения, то и правая часть уравнения должна быть положительной. Это условие нужно дописать в качестве общего ограничения для всего примера. Тогда получим систему:</w:t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285240" cy="845185"/>
            <wp:effectExtent l="0" t="0" r="0" b="0"/>
            <wp:docPr id="2" name="Рисунок 2" descr="Формула Решение уравнения с моду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ула Решение уравнения с модуле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Оба этих типа уравнений можно решать и другим способом: раскрывая соответствующим образом модуль на промежутках где </w:t>
      </w:r>
      <w:proofErr w:type="spellStart"/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подмодульное</w:t>
      </w:r>
      <w:proofErr w:type="spellEnd"/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выражение имеет определённый знак. В этом случае будем получать совокупность двух систем. Приведем общий вид </w:t>
      </w:r>
      <w:proofErr w:type="gramStart"/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решений</w:t>
      </w:r>
      <w:proofErr w:type="gramEnd"/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получающихся для обоих типов уравнений приведённых выше:</w:t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77490" cy="2449830"/>
            <wp:effectExtent l="0" t="0" r="3810" b="7620"/>
            <wp:docPr id="1" name="Рисунок 1" descr="Формула Общее решение уравнения с моду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ула Общее решение уравнения с модуле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44" w:rsidRPr="001A3F44" w:rsidRDefault="001A3F44" w:rsidP="001A3F4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решения уравнений в которых содержится более чем один модуль применяется </w:t>
      </w:r>
      <w:r w:rsidRPr="001A3F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метод интервалов</w:t>
      </w: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который состоит в следующем:</w:t>
      </w:r>
    </w:p>
    <w:p w:rsidR="001A3F44" w:rsidRPr="001A3F44" w:rsidRDefault="001A3F44" w:rsidP="001A3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Сначала находим точки на числовой оси, в которых обращается в ноль каждое из выражений, стоящих под модулем.</w:t>
      </w:r>
    </w:p>
    <w:p w:rsidR="001A3F44" w:rsidRPr="001A3F44" w:rsidRDefault="001A3F44" w:rsidP="001A3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Далее делим всю числовую ось на интервалы между полученными точками и исследуем знак каждого из </w:t>
      </w:r>
      <w:proofErr w:type="spellStart"/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подмодульных</w:t>
      </w:r>
      <w:proofErr w:type="spellEnd"/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выражений на каждом интервале. Заметьте, что для определения знака выражения надо подставить в него любое значение </w:t>
      </w:r>
      <w:r w:rsidRPr="001A3F4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x</w:t>
      </w: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из интервала, кроме граничных точек. Выбирайте те значения </w:t>
      </w:r>
      <w:r w:rsidRPr="001A3F4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x</w:t>
      </w: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которые легко подставлять.</w:t>
      </w:r>
    </w:p>
    <w:p w:rsidR="001A3F44" w:rsidRPr="001A3F44" w:rsidRDefault="001A3F44" w:rsidP="001A3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3F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Далее на каждом полученном интервале раскрываем все модули в исходном уравнении в соответствии с их знаками на данном интервале и решаем полученное обычное уравнение. В итоговый ответ выписываем только те корни этого уравнения, которые попадают в исследуемый промежуток. Еще раз: такую процедуру проводим для каждого из полученных интервалов.</w:t>
      </w:r>
      <w:bookmarkStart w:id="4" w:name="_GoBack"/>
      <w:bookmarkEnd w:id="4"/>
    </w:p>
    <w:sectPr w:rsidR="001A3F44" w:rsidRPr="001A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38A3"/>
    <w:multiLevelType w:val="multilevel"/>
    <w:tmpl w:val="20E4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077A7"/>
    <w:multiLevelType w:val="multilevel"/>
    <w:tmpl w:val="1434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21B84"/>
    <w:multiLevelType w:val="multilevel"/>
    <w:tmpl w:val="B526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A79FC"/>
    <w:multiLevelType w:val="multilevel"/>
    <w:tmpl w:val="326C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44"/>
    <w:rsid w:val="001A3F44"/>
    <w:rsid w:val="00F2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FF805-358D-47A4-99B5-432D6E78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3F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3F44"/>
    <w:rPr>
      <w:b/>
      <w:bCs/>
    </w:rPr>
  </w:style>
  <w:style w:type="character" w:styleId="a6">
    <w:name w:val="Emphasis"/>
    <w:basedOn w:val="a0"/>
    <w:uiPriority w:val="20"/>
    <w:qFormat/>
    <w:rsid w:val="001A3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7874">
              <w:marLeft w:val="0"/>
              <w:marRight w:val="0"/>
              <w:marTop w:val="210"/>
              <w:marBottom w:val="75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  <w:div w:id="1554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.by/index.php/materials/math/moduli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on.by/index.php/materials/math/moduli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educon.by/index.php/materials/math/moduli" TargetMode="External"/><Relationship Id="rId11" Type="http://schemas.openxmlformats.org/officeDocument/2006/relationships/hyperlink" Target="https://educon.by/index.php/materials/math/moduli" TargetMode="External"/><Relationship Id="rId5" Type="http://schemas.openxmlformats.org/officeDocument/2006/relationships/hyperlink" Target="https://educon.by/index.php/materials/math/moduli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Модули</vt:lpstr>
      <vt:lpstr>        Оглавление:</vt:lpstr>
      <vt:lpstr>    Основные теоретические сведения</vt:lpstr>
      <vt:lpstr>        Базовые сведения о модуле</vt:lpstr>
      <vt:lpstr>        Некоторые методы решения уравнений с модулями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2020-11-18T05:10:00Z</dcterms:created>
  <dcterms:modified xsi:type="dcterms:W3CDTF">2020-11-18T05:14:00Z</dcterms:modified>
</cp:coreProperties>
</file>